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18" w:rsidRPr="00D62C12" w:rsidRDefault="006C2718" w:rsidP="00D62C12">
      <w:pPr>
        <w:shd w:val="clear" w:color="auto" w:fill="FFFFFF"/>
        <w:spacing w:after="0" w:line="240" w:lineRule="auto"/>
        <w:ind w:left="-567"/>
        <w:outlineLvl w:val="2"/>
        <w:rPr>
          <w:rFonts w:ascii="Trebuchet MS" w:eastAsia="Times New Roman" w:hAnsi="Trebuchet MS" w:cs="Times New Roman"/>
          <w:bCs/>
          <w:sz w:val="33"/>
          <w:szCs w:val="33"/>
          <w:lang w:eastAsia="ru-RU"/>
        </w:rPr>
      </w:pPr>
      <w:r w:rsidRPr="00D62C12">
        <w:rPr>
          <w:rFonts w:ascii="Trebuchet MS" w:eastAsia="Times New Roman" w:hAnsi="Trebuchet MS" w:cs="Times New Roman"/>
          <w:bCs/>
          <w:sz w:val="33"/>
          <w:szCs w:val="33"/>
          <w:lang w:eastAsia="ru-RU"/>
        </w:rPr>
        <w:t>ОГЭ Подготовка к заданию 8 (грамматическая основа предложения)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Цель данного поста - научить вас справляться с экзаменационным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заданием 8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. В этой же статье </w:t>
      </w:r>
      <w:r w:rsidR="00D62C12"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дано 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не</w:t>
      </w:r>
      <w:r w:rsidR="00D62C12">
        <w:rPr>
          <w:rFonts w:ascii="Trebuchet MS" w:eastAsia="Times New Roman" w:hAnsi="Trebuchet MS" w:cs="Arial"/>
          <w:sz w:val="20"/>
          <w:szCs w:val="20"/>
          <w:lang w:eastAsia="ru-RU"/>
        </w:rPr>
        <w:t>с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колько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советов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по правильному оформлению ответа на это задание, а также </w:t>
      </w:r>
      <w:r w:rsidR="00D62C12">
        <w:rPr>
          <w:rFonts w:ascii="Trebuchet MS" w:eastAsia="Times New Roman" w:hAnsi="Trebuchet MS" w:cs="Arial"/>
          <w:sz w:val="20"/>
          <w:szCs w:val="20"/>
          <w:lang w:eastAsia="ru-RU"/>
        </w:rPr>
        <w:t>демонстрируются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некоторые типичные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ошибки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 которые допускают 9-классники при выписывании грамматической основы из предложения.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bookmarkStart w:id="0" w:name="more"/>
      <w:bookmarkEnd w:id="0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  <w:t>Итак, вспомним, как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 сформулировано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 задание 8 в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КИМах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: "</w:t>
      </w:r>
      <w:r w:rsidRPr="00D62C12">
        <w:rPr>
          <w:rFonts w:ascii="Trebuchet MS" w:eastAsia="Times New Roman" w:hAnsi="Trebuchet MS" w:cs="Arial"/>
          <w:bCs/>
          <w:i/>
          <w:iCs/>
          <w:sz w:val="20"/>
          <w:szCs w:val="20"/>
          <w:lang w:eastAsia="ru-RU"/>
        </w:rPr>
        <w:t> Выпишите грамматическую основу предложения 11".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  <w:t>На первый взгляд, всё просто: нужно найти подлежащее и сказуемое и выписать их в бланк. Однако, как показала практика, когда начинаешь выполнять это задание, возникает множество вопросов.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Но давайте по порядку!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36"/>
          <w:szCs w:val="36"/>
          <w:lang w:eastAsia="ru-RU"/>
        </w:rPr>
        <w:t>1</w:t>
      </w:r>
      <w:proofErr w:type="gramStart"/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П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режде чем приступать к заданию 8, необходимо внимательнейшим образом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изучить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теоретический</w:t>
      </w:r>
      <w:proofErr w:type="spellEnd"/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 xml:space="preserve"> материал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 изложенный в следующих презентациях:</w:t>
      </w:r>
    </w:p>
    <w:p w:rsidR="006C2718" w:rsidRPr="00D62C12" w:rsidRDefault="00D62C12" w:rsidP="00D62C12">
      <w:pPr>
        <w:numPr>
          <w:ilvl w:val="0"/>
          <w:numId w:val="1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hyperlink r:id="rId6" w:anchor="more" w:history="1">
        <w:r w:rsidR="006C2718" w:rsidRPr="00D62C12">
          <w:rPr>
            <w:rFonts w:ascii="Trebuchet MS" w:eastAsia="Times New Roman" w:hAnsi="Trebuchet MS" w:cs="Arial"/>
            <w:sz w:val="20"/>
            <w:szCs w:val="20"/>
            <w:lang w:eastAsia="ru-RU"/>
          </w:rPr>
          <w:t>Способы выражения подлежащего</w:t>
        </w:r>
      </w:hyperlink>
    </w:p>
    <w:p w:rsidR="006C2718" w:rsidRPr="00D62C12" w:rsidRDefault="00D62C12" w:rsidP="00D62C12">
      <w:pPr>
        <w:numPr>
          <w:ilvl w:val="0"/>
          <w:numId w:val="1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hyperlink r:id="rId7" w:anchor="more" w:history="1">
        <w:r w:rsidR="006C2718" w:rsidRPr="00D62C12">
          <w:rPr>
            <w:rFonts w:ascii="Trebuchet MS" w:eastAsia="Times New Roman" w:hAnsi="Trebuchet MS" w:cs="Arial"/>
            <w:sz w:val="20"/>
            <w:szCs w:val="20"/>
            <w:lang w:eastAsia="ru-RU"/>
          </w:rPr>
          <w:t>Способы выражения сказуемого. Часть 1</w:t>
        </w:r>
      </w:hyperlink>
    </w:p>
    <w:p w:rsidR="006C2718" w:rsidRPr="00D62C12" w:rsidRDefault="00D62C12" w:rsidP="00D62C12">
      <w:pPr>
        <w:numPr>
          <w:ilvl w:val="0"/>
          <w:numId w:val="1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anchor="more" w:history="1">
        <w:r w:rsidR="006C2718" w:rsidRPr="00D62C12">
          <w:rPr>
            <w:rFonts w:ascii="Trebuchet MS" w:eastAsia="Times New Roman" w:hAnsi="Trebuchet MS" w:cs="Arial"/>
            <w:sz w:val="20"/>
            <w:szCs w:val="20"/>
            <w:lang w:eastAsia="ru-RU"/>
          </w:rPr>
          <w:t>Способы выражения сказуемого. Часть 2</w:t>
        </w:r>
      </w:hyperlink>
    </w:p>
    <w:p w:rsidR="006C2718" w:rsidRPr="00D62C12" w:rsidRDefault="00D62C12" w:rsidP="00D62C12">
      <w:pPr>
        <w:numPr>
          <w:ilvl w:val="0"/>
          <w:numId w:val="1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anchor="more" w:history="1">
        <w:r w:rsidR="006C2718" w:rsidRPr="00D62C12">
          <w:rPr>
            <w:rFonts w:ascii="Trebuchet MS" w:eastAsia="Times New Roman" w:hAnsi="Trebuchet MS" w:cs="Arial"/>
            <w:sz w:val="20"/>
            <w:szCs w:val="20"/>
            <w:lang w:eastAsia="ru-RU"/>
          </w:rPr>
          <w:t>Способы выражения сказуемого. Часть 3</w:t>
        </w:r>
      </w:hyperlink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Изучение материала этих презентаций не займёт у вас много времени, зато вы вспомните, что такое грамматическая основа, а также чем могут выражаться подлежащее и сказуемое и каким бывает сказуемое по строению. Конкретные примеры предложений продемонстрируют каждый теоретический случай.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36"/>
          <w:szCs w:val="36"/>
          <w:lang w:eastAsia="ru-RU"/>
        </w:rPr>
        <w:t>2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Необходимо знать, как правильно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оформляется ответ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на задание 8 в бланке. Это крайне важно, так как неправильное оформление ответа обернётся для вас потерей балла. Ответом на задание 8 может быть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слово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или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перечень слов.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br/>
        <w:t>Напоминаю:</w:t>
      </w:r>
    </w:p>
    <w:p w:rsidR="006C2718" w:rsidRPr="00D62C12" w:rsidRDefault="006C2718" w:rsidP="00D62C12">
      <w:pPr>
        <w:numPr>
          <w:ilvl w:val="0"/>
          <w:numId w:val="2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все слова в бланке записываются 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печатными заглавными</w:t>
      </w: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 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буквами</w:t>
      </w: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 xml:space="preserve"> в соответствии </w:t>
      </w:r>
      <w:proofErr w:type="spellStart"/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с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образцом</w:t>
      </w:r>
      <w:proofErr w:type="spellEnd"/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 написания 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 xml:space="preserve">чёрной </w:t>
      </w:r>
      <w:proofErr w:type="spellStart"/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гелевой</w:t>
      </w:r>
      <w:proofErr w:type="spellEnd"/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 xml:space="preserve"> ручкой</w:t>
      </w: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, начиная 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с первой клетки</w:t>
      </w:r>
    </w:p>
    <w:p w:rsidR="006C2718" w:rsidRPr="00D62C12" w:rsidRDefault="006C2718" w:rsidP="00D62C12">
      <w:pPr>
        <w:numPr>
          <w:ilvl w:val="0"/>
          <w:numId w:val="2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каждая буква записывается 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в отдельной клетке</w:t>
      </w:r>
    </w:p>
    <w:p w:rsidR="006C2718" w:rsidRPr="00D62C12" w:rsidRDefault="006C2718" w:rsidP="00D62C12">
      <w:pPr>
        <w:numPr>
          <w:ilvl w:val="0"/>
          <w:numId w:val="2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между словами клетка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 не пропускается</w:t>
      </w:r>
    </w:p>
    <w:p w:rsidR="006C2718" w:rsidRPr="00D62C12" w:rsidRDefault="006C2718" w:rsidP="00D62C12">
      <w:pPr>
        <w:numPr>
          <w:ilvl w:val="0"/>
          <w:numId w:val="2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запятая ставится </w:t>
      </w:r>
      <w:r w:rsidRPr="00D62C12">
        <w:rPr>
          <w:rFonts w:ascii="Trebuchet MS" w:eastAsia="Times New Roman" w:hAnsi="Trebuchet MS" w:cs="Arial"/>
          <w:bCs/>
          <w:sz w:val="24"/>
          <w:szCs w:val="24"/>
          <w:lang w:eastAsia="ru-RU"/>
        </w:rPr>
        <w:t>в отдельной клетке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Это общие правила, а теперь давайте рассмотрим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частные случаи.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ЧС</w:t>
      </w:r>
      <w:proofErr w:type="gramStart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1</w:t>
      </w:r>
      <w:proofErr w:type="gramEnd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.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  Если в предложении сказуемое стоит перед подлежащим, то в ответе желательно писать по-разному: </w:t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сначала подлежащее, потом - сказуемое или наоборот,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 т.е. это не принципиально. 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br/>
        <w:t>Например: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В его добрых глазах искрится огонёк.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В бланке пишем так: 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огонёкискритсяили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искритсяогонёк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.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ЧС</w:t>
      </w:r>
      <w:proofErr w:type="gramStart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2</w:t>
      </w:r>
      <w:proofErr w:type="gramEnd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.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  Если в грамматической основе есть однородные подлежащие или сказуемые, то между ними в бланке </w:t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ставьте тот знак препинания (запятая) или союз, который стоит в предложении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.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lastRenderedPageBreak/>
        <w:t>Например: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Дети весело резвились на площадке, прыгали и бегали.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В бланке пишем так: 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детирезвились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,п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рыгалиибегали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ЧС3.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 Если сказуемое употребляется с союзом КАК или частицами ЛИ, 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БЫ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, то данную служебную часть речи </w:t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выписывайте вместе со сказуемым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br/>
        <w:t>Например: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Наш двор как сад.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В бланке пишем так: 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дворкаксад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. 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Не желаете ли кофе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? В бланке пишем так: 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нежелаетели</w:t>
      </w:r>
      <w:proofErr w:type="spellEnd"/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Я хотел бы обнять весь мир!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В бланке пишем так: 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яхотелбыобнять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36"/>
          <w:szCs w:val="36"/>
          <w:lang w:eastAsia="ru-RU"/>
        </w:rPr>
        <w:t>3</w:t>
      </w:r>
      <w:proofErr w:type="gramStart"/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В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ыделяя в предложении грамматическую основу, необходимо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помнить 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следующее: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1.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 </w:t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НФГ 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(глагол в неопределённой форме) </w:t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не всегда входит в состав сказуемого, а может быть и второстепенным членом предложения,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например: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</w:p>
    <w:p w:rsidR="006C2718" w:rsidRPr="00D62C12" w:rsidRDefault="006C2718" w:rsidP="00D62C12">
      <w:pPr>
        <w:numPr>
          <w:ilvl w:val="0"/>
          <w:numId w:val="3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Ребята пришли в музей посмотреть новую экспозицию.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 В данном предложении сказуемым является глагол пришли, а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нфг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посмотреть - это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обстоятельство цели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 т.к. отвечает на вопрос пришли с какой целью? посмотреть.</w:t>
      </w:r>
    </w:p>
    <w:p w:rsidR="006C2718" w:rsidRPr="00D62C12" w:rsidRDefault="006C2718" w:rsidP="00D62C12">
      <w:pPr>
        <w:numPr>
          <w:ilvl w:val="0"/>
          <w:numId w:val="3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Соседка попросила нас помочь при перевозке мебели.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 В данном предложении сказуемым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является глагол попросила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, а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нфг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помочь является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дополнением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 т.к. отвечает на вопрос попросила о чём? помочь.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2.</w:t>
      </w:r>
      <w:r w:rsidRPr="00D62C12">
        <w:rPr>
          <w:rFonts w:ascii="Trebuchet MS" w:eastAsia="Times New Roman" w:hAnsi="Trebuchet MS" w:cs="Arial"/>
          <w:sz w:val="20"/>
          <w:szCs w:val="20"/>
          <w:shd w:val="clear" w:color="auto" w:fill="F4CCCC"/>
          <w:lang w:eastAsia="ru-RU"/>
        </w:rPr>
        <w:t> </w:t>
      </w: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Вводные слова, словосочетания и предложения не являются членами предложения, значит, не могут быть грамматической основой предложения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например:</w:t>
      </w:r>
    </w:p>
    <w:p w:rsidR="006C2718" w:rsidRPr="00D62C12" w:rsidRDefault="006C2718" w:rsidP="00D62C12">
      <w:pPr>
        <w:numPr>
          <w:ilvl w:val="0"/>
          <w:numId w:val="4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Надеюсь, вы приедете вовремя.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 (Надеюсь - вводное слово, вы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предете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-г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рамматическая основа)</w:t>
      </w:r>
    </w:p>
    <w:p w:rsidR="006C2718" w:rsidRPr="00D62C12" w:rsidRDefault="006C2718" w:rsidP="00D62C12">
      <w:pPr>
        <w:numPr>
          <w:ilvl w:val="0"/>
          <w:numId w:val="4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Я думаю, всё  у тебя получится.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(Я думаю - вводное предложение, всё получится - грамматическая основа)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 xml:space="preserve">3.  Приложение не является подлежащим или сказуемым, оно является </w:t>
      </w:r>
      <w:proofErr w:type="spellStart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определением</w:t>
      </w:r>
      <w:proofErr w:type="gramStart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,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</w:t>
      </w:r>
      <w:proofErr w:type="gramEnd"/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апример</w:t>
      </w:r>
      <w:proofErr w:type="spellEnd"/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: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</w:t>
      </w:r>
    </w:p>
    <w:p w:rsidR="006C2718" w:rsidRPr="00D62C12" w:rsidRDefault="006C2718" w:rsidP="00D62C12">
      <w:pPr>
        <w:numPr>
          <w:ilvl w:val="0"/>
          <w:numId w:val="5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Вот наша Леночка, отличница и активистка.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(Отличница и активистка - это приложение, Леночка - подлежащее)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4. Обращение не является членом предложения, следовательно, не может быть подлежащим,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 например:</w:t>
      </w:r>
    </w:p>
    <w:p w:rsidR="006C2718" w:rsidRPr="00D62C12" w:rsidRDefault="006C2718" w:rsidP="00D62C12">
      <w:pPr>
        <w:numPr>
          <w:ilvl w:val="0"/>
          <w:numId w:val="6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Друзья, прекрасен наш союз!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 (Друзья - обращение, союз прекрасен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-г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рамматическая основа)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 xml:space="preserve">5. Дополнение в </w:t>
      </w:r>
      <w:proofErr w:type="spellStart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В.п</w:t>
      </w:r>
      <w:proofErr w:type="spellEnd"/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. не является подлежащим,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 например:</w:t>
      </w:r>
    </w:p>
    <w:p w:rsidR="006C2718" w:rsidRPr="00D62C12" w:rsidRDefault="006C2718" w:rsidP="00D62C12">
      <w:pPr>
        <w:numPr>
          <w:ilvl w:val="0"/>
          <w:numId w:val="7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Дом возводят строители.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 (Дом - это дополнение, т.к. стоит в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В.п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. возводят кого? что? дом, также слово дом не связано со сказуемым возводят по смыслу, потому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чтодом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не может совершать указанное действие, строители возводят - грамматическая основа)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shd w:val="clear" w:color="auto" w:fill="F4CCCC"/>
          <w:lang w:eastAsia="ru-RU"/>
        </w:rPr>
        <w:t>6. В безличном предложении сказуемое может быть выражено одним словом - НЕТ.</w:t>
      </w:r>
    </w:p>
    <w:p w:rsidR="006C2718" w:rsidRPr="00D62C12" w:rsidRDefault="006C2718" w:rsidP="00D62C12">
      <w:pPr>
        <w:shd w:val="clear" w:color="auto" w:fill="FFFFFF"/>
        <w:spacing w:after="24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2718" w:rsidRPr="00D62C12" w:rsidRDefault="006C2718" w:rsidP="00D62C12">
      <w:pPr>
        <w:numPr>
          <w:ilvl w:val="0"/>
          <w:numId w:val="8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У меня нет времени. 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(Нет - это сказуемое, подлежащее отсутствует)</w:t>
      </w:r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36"/>
          <w:szCs w:val="36"/>
          <w:lang w:eastAsia="ru-RU"/>
        </w:rPr>
        <w:t>4</w:t>
      </w:r>
      <w:proofErr w:type="gramStart"/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З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апомните также эти простые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правила: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1. При переписывании грамматической основы в бланк не делайте ошибок в словах!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lastRenderedPageBreak/>
        <w:t>2. Запоминайте номер предложения, из которого вам надо выписать грамматическую основу!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3. Внимательно читайте задание!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В некоторых тестах задание может быть сформулировано так: </w:t>
      </w:r>
      <w:r w:rsidRPr="00D62C12">
        <w:rPr>
          <w:rFonts w:ascii="Trebuchet MS" w:eastAsia="Times New Roman" w:hAnsi="Trebuchet MS" w:cs="Arial"/>
          <w:bCs/>
          <w:i/>
          <w:iCs/>
          <w:sz w:val="20"/>
          <w:szCs w:val="20"/>
          <w:lang w:eastAsia="ru-RU"/>
        </w:rPr>
        <w:t>Выпишите грамматическую основу безличного предложения 2.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  То есть нужно выписать грамматическую основу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не всего предложения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, а из его части (безличного предложения), </w:t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например:</w:t>
      </w:r>
    </w:p>
    <w:p w:rsidR="006C2718" w:rsidRPr="00D62C12" w:rsidRDefault="006C2718" w:rsidP="00D62C12">
      <w:pPr>
        <w:numPr>
          <w:ilvl w:val="0"/>
          <w:numId w:val="9"/>
        </w:numPr>
        <w:shd w:val="clear" w:color="auto" w:fill="FFFFFF"/>
        <w:spacing w:after="60" w:line="240" w:lineRule="auto"/>
        <w:ind w:left="-567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Trebuchet MS" w:eastAsia="Times New Roman" w:hAnsi="Trebuchet MS" w:cs="Arial"/>
          <w:i/>
          <w:iCs/>
          <w:sz w:val="20"/>
          <w:szCs w:val="20"/>
          <w:lang w:eastAsia="ru-RU"/>
        </w:rPr>
        <w:t>Кормили плохо, вечно хотелось есть. </w:t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(Данное предложение сложное, состоит из двух простых: кормили плохо - 1-ое простое, оно неопределённо-личное, вечно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хотелось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есть - 2-ое простое, оно безличное.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Таким образом, выписываем грамматическую основу 2-го предложения - хотелось есть)</w:t>
      </w:r>
      <w:proofErr w:type="gramEnd"/>
    </w:p>
    <w:p w:rsidR="006C2718" w:rsidRPr="00D62C12" w:rsidRDefault="006C2718" w:rsidP="00D62C12">
      <w:pPr>
        <w:shd w:val="clear" w:color="auto" w:fill="FFFFFF"/>
        <w:spacing w:after="0" w:line="273" w:lineRule="atLeast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36"/>
          <w:szCs w:val="36"/>
          <w:lang w:eastAsia="ru-RU"/>
        </w:rPr>
        <w:t>5</w:t>
      </w:r>
      <w:proofErr w:type="gramStart"/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Т</w:t>
      </w:r>
      <w:proofErr w:type="gramEnd"/>
      <w:r w:rsidRPr="00D62C12">
        <w:rPr>
          <w:rFonts w:ascii="Trebuchet MS" w:eastAsia="Times New Roman" w:hAnsi="Trebuchet MS" w:cs="Arial"/>
          <w:sz w:val="24"/>
          <w:szCs w:val="24"/>
          <w:lang w:eastAsia="ru-RU"/>
        </w:rPr>
        <w:t>еперь можно приступить к выполнению практической части.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bCs/>
          <w:sz w:val="20"/>
          <w:szCs w:val="20"/>
          <w:lang w:eastAsia="ru-RU"/>
        </w:rPr>
        <w:t>Найдите в каждом предложении грамматическую основу: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br/>
        <w:t>1. Это многое в тебе объясняет.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2. Теперь она не будет ни спать, ни есть.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3. Почему-то раньше всё было просто.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4. Я целую чистые, святые руки твои!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5. Не будет и тайн, рассказанных верному другу детства Хохолку.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6. И моя работа делает меня молодым и счастливым.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7. На первый взгляд, найти анаграмму к одному слову не так-то и трудно.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8. Круглые электрические часы с освещённым изнутри циферблатом показывали без четверти одиннадцать.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9. Какой приказ отдаст он своему воину?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10. Кусты рододендрона здесь особенно жирные, мясистые.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11. В такие минуты думаешь о какой-то безысходности.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12. Или была им недовольна?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13. Кларнет - её любимейший инструмент!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14. С волнением и любопытством посмотрев на тёмное здание школы, вдруг заметил он справа, в темноте парка под густыми акациями, красный огонёк, пробивающийся меж ветвей.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15. Как же ты можешь подсказывать на уроке?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16. И положил на её ладонь маленькую золотую медаль.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17. Он будет строить лёгкие и прочные железнодорожные мосты или дома с особыми, тщательно обдуманными удобствами для людей.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18. Способность радоваться, чутко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улавливать красоту родной земли дарована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далеко не всем людям.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19. Может быть, пригласить весь наш студенческий оркестр?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20. Я вышел во двор и, сжав кулаки, сел на поломанную железную койку возле террасы.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21. </w:t>
      </w:r>
      <w:proofErr w:type="gram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Собравшиеся</w:t>
      </w:r>
      <w:proofErr w:type="gram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в комнате боятся пропустить хоть слово из его рассказа.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22. Уже став знаменитым, Михаил Семёнович Щепкин любил в кругу близких вспоминать свои детские годы, прошедшие в белгородских сёлах и хуторах.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23. Только Пушкин, Библия, Шекспир были её вечными спутниками.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24. Словом, школьная жизнь Сергея Чумака была непростой.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25. Замечательный Учитель, встретившийся мне в начале жизненного пути, был Игнатий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Дмириевич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Рождественский, сибирский поэт.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26. Он был как все.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27. Потом он приткнул концом палки голову змеи и обернулся.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28. Их завёл ещё Иван Филиппов, основатель булочной, прославившийся далеко за </w:t>
      </w:r>
      <w:proofErr w:type="spellStart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ределами</w:t>
      </w:r>
      <w:proofErr w:type="spellEnd"/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 xml:space="preserve"> московскими калачами и сайками, а главное, чёрным хлебом прекрасного качества.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29. Последний раз участвовать в покосе мне привелось лет пять или шесть назад.</w:t>
      </w:r>
      <w:r w:rsidRPr="00D62C1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62C12">
        <w:rPr>
          <w:rFonts w:ascii="Trebuchet MS" w:eastAsia="Times New Roman" w:hAnsi="Trebuchet MS" w:cs="Arial"/>
          <w:sz w:val="20"/>
          <w:szCs w:val="20"/>
          <w:lang w:eastAsia="ru-RU"/>
        </w:rPr>
        <w:t>30. Все сразу начали бы глядеть на него.</w:t>
      </w:r>
    </w:p>
    <w:p w:rsidR="006D2A43" w:rsidRPr="00D62C12" w:rsidRDefault="006D2A43" w:rsidP="00D62C12">
      <w:pPr>
        <w:ind w:left="-567"/>
      </w:pPr>
    </w:p>
    <w:p w:rsidR="006C2718" w:rsidRPr="00D62C12" w:rsidRDefault="006C2718" w:rsidP="00D62C12">
      <w:pPr>
        <w:ind w:left="-567"/>
      </w:pPr>
    </w:p>
    <w:p w:rsidR="006C2718" w:rsidRPr="00D62C12" w:rsidRDefault="006C2718" w:rsidP="00D62C12">
      <w:pPr>
        <w:spacing w:after="0" w:line="315" w:lineRule="atLeast"/>
        <w:ind w:left="-567"/>
        <w:outlineLvl w:val="0"/>
        <w:rPr>
          <w:rFonts w:ascii="graduateregular" w:eastAsia="Times New Roman" w:hAnsi="graduateregular" w:cs="Times New Roman"/>
          <w:caps/>
          <w:kern w:val="36"/>
          <w:sz w:val="30"/>
          <w:szCs w:val="30"/>
          <w:lang w:eastAsia="ru-RU"/>
        </w:rPr>
      </w:pPr>
      <w:r w:rsidRPr="00D62C12">
        <w:rPr>
          <w:rFonts w:ascii="graduateregular" w:eastAsia="Times New Roman" w:hAnsi="graduateregular" w:cs="Times New Roman"/>
          <w:caps/>
          <w:kern w:val="36"/>
          <w:sz w:val="30"/>
          <w:szCs w:val="30"/>
          <w:lang w:eastAsia="ru-RU"/>
        </w:rPr>
        <w:lastRenderedPageBreak/>
        <w:t>ОГЭ: ЗАДАНИЕ 8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b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</w:t>
      </w:r>
      <w:r w:rsidRPr="00D62C12">
        <w:rPr>
          <w:rFonts w:ascii="OpenSansRegular" w:eastAsia="Times New Roman" w:hAnsi="OpenSansRegular" w:cs="Times New Roman"/>
          <w:b/>
          <w:bCs/>
          <w:sz w:val="23"/>
          <w:szCs w:val="23"/>
          <w:lang w:eastAsia="ru-RU"/>
        </w:rPr>
        <w:t>Теоретический минимум по теме</w:t>
      </w:r>
      <w:r w:rsidR="00D62C12" w:rsidRPr="00D62C12">
        <w:rPr>
          <w:rFonts w:ascii="OpenSansRegular" w:eastAsia="Times New Roman" w:hAnsi="OpenSansRegular" w:cs="Times New Roman"/>
          <w:b/>
          <w:bCs/>
          <w:sz w:val="23"/>
          <w:szCs w:val="23"/>
          <w:lang w:eastAsia="ru-RU"/>
        </w:rPr>
        <w:t xml:space="preserve"> </w:t>
      </w:r>
      <w:r w:rsidRPr="00D62C12">
        <w:rPr>
          <w:rFonts w:ascii="OpenSansRegular" w:eastAsia="Times New Roman" w:hAnsi="OpenSansRegular" w:cs="Times New Roman"/>
          <w:b/>
          <w:bCs/>
          <w:sz w:val="23"/>
          <w:szCs w:val="23"/>
          <w:lang w:eastAsia="ru-RU"/>
        </w:rPr>
        <w:t>«Грамматическая основа предложения»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Вся важная информация, основное ядро, содержится в грамматической основе предложения. Она состоит из подлежащего и сказуемого.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bCs/>
          <w:i/>
          <w:iCs/>
          <w:sz w:val="23"/>
          <w:szCs w:val="23"/>
          <w:lang w:eastAsia="ru-RU"/>
        </w:rPr>
        <w:t>Подлежащее.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Предмет речи. То, о чём говорится в предложении. Важно запомнить, что подлежащее может быть только в именительном падеже.  Чтобы не сбить себя с толку задавайте всегда к нему </w:t>
      </w:r>
      <w:r w:rsidRPr="00D62C12">
        <w:rPr>
          <w:rFonts w:ascii="OpenSansRegular" w:eastAsia="Times New Roman" w:hAnsi="OpenSansRegular" w:cs="Times New Roman"/>
          <w:bCs/>
          <w:sz w:val="23"/>
          <w:szCs w:val="23"/>
          <w:lang w:eastAsia="ru-RU"/>
        </w:rPr>
        <w:t>два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вопроса: кто? и что?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Например: «Велосипед купил мой брат». К первому предмету задаём вопросы «кого/что», ко второму «кто/что». Стало быть, брат — подлежащее.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Не путайте подлежащее и обращение. Подлежащее — предмет речи, а не её адресат.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«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Бильбо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, отдай кольцо».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Обращение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«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Бильбо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отдал кольцо».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Подлежащее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Не будет подлежащим и второе название предмета (приложение).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Мериадок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,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родственник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Фродо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, встретил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хоббитов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у переправы. Река </w:t>
      </w:r>
      <w:proofErr w:type="spellStart"/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Андуин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быстрая и стремительная в своём движении. </w:t>
      </w:r>
      <w:proofErr w:type="spellStart"/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Хоббит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Фродо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в детстве часто воровал грибы у Бирюка.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Приложения здесь отмечены курсивом и подлежащими не являются.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bCs/>
          <w:sz w:val="23"/>
          <w:szCs w:val="23"/>
          <w:lang w:eastAsia="ru-RU"/>
        </w:rPr>
        <w:t>Внимание.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1) Иногда подлежащее бывает выражено не одним словом. Но это только в случае, если словосочетание нельзя разделить.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 xml:space="preserve">Четверо </w:t>
      </w:r>
      <w:proofErr w:type="spellStart"/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хоббитов</w:t>
      </w:r>
      <w:proofErr w:type="spellEnd"/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, гном с эльфом, один из магов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Подробнее о цельных словосочетаниях читайте ниже.</w:t>
      </w:r>
    </w:p>
    <w:p w:rsidR="006C2718" w:rsidRPr="00D62C12" w:rsidRDefault="00D62C12" w:rsidP="00D62C12">
      <w:pPr>
        <w:spacing w:beforeAutospacing="1" w:after="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hyperlink r:id="rId10" w:anchor="SID505_1_tgl" w:history="1">
        <w:r w:rsidR="006C2718" w:rsidRPr="00D62C12">
          <w:rPr>
            <w:rFonts w:ascii="OpenSansRegular" w:eastAsia="Times New Roman" w:hAnsi="OpenSansRegular" w:cs="Times New Roman"/>
            <w:sz w:val="23"/>
            <w:szCs w:val="23"/>
            <w:u w:val="single"/>
            <w:lang w:eastAsia="ru-RU"/>
          </w:rPr>
          <w:t>Развернуть »</w:t>
        </w:r>
      </w:hyperlink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2) Очень редко подлежащим является инфинитив. Обычно, если он идёт в начале предложения. «Добраться до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Ривендэйла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— вот главная их цель».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bCs/>
          <w:i/>
          <w:iCs/>
          <w:sz w:val="23"/>
          <w:szCs w:val="23"/>
          <w:lang w:eastAsia="ru-RU"/>
        </w:rPr>
        <w:t>Сказуемое.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Все глаголы в личной форме — сказуемые. А личных форм у глагола…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ууу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Давайте вспомним.</w:t>
      </w:r>
    </w:p>
    <w:p w:rsidR="006C2718" w:rsidRPr="00D62C12" w:rsidRDefault="00D62C12" w:rsidP="00D62C12">
      <w:pPr>
        <w:spacing w:beforeAutospacing="1" w:after="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hyperlink r:id="rId11" w:anchor="SID505_2_tgl" w:history="1">
        <w:r w:rsidR="006C2718" w:rsidRPr="00D62C12">
          <w:rPr>
            <w:rFonts w:ascii="OpenSansRegular" w:eastAsia="Times New Roman" w:hAnsi="OpenSansRegular" w:cs="Times New Roman"/>
            <w:sz w:val="23"/>
            <w:szCs w:val="23"/>
            <w:u w:val="single"/>
            <w:lang w:eastAsia="ru-RU"/>
          </w:rPr>
          <w:t>Развернуть »</w:t>
        </w:r>
      </w:hyperlink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Все эти формы  в любом предложении будут сказуемыми.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lastRenderedPageBreak/>
        <w:t>Другое дело — начальная форма глагола, </w:t>
      </w:r>
      <w:r w:rsidRPr="00D62C12">
        <w:rPr>
          <w:rFonts w:ascii="OpenSansRegular" w:eastAsia="Times New Roman" w:hAnsi="OpenSansRegular" w:cs="Times New Roman"/>
          <w:bCs/>
          <w:sz w:val="23"/>
          <w:szCs w:val="23"/>
          <w:lang w:eastAsia="ru-RU"/>
        </w:rPr>
        <w:t>инфинитив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Он будет входить в состав сказуемого, если рядом находится один из трёх помощников.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1) Помощник времени: </w:t>
      </w:r>
      <w:proofErr w:type="gram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показывает</w:t>
      </w:r>
      <w:proofErr w:type="gram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началось, продолжается или заканчивается действие.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Они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собираются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идти. Они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продолжают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идти.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2) Помощник возможности и желательности.  Им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надо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идти, но они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не хотят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уходить.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3) Помощник чувств. Им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нравится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идти, ведь они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ненавидят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сидеть на месте.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Если ни одного из помощников нет, инфинитив сказуемым не будет. Сравним: Никто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не хотел относить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 Кольцо в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Мордор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Хранители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отправились относить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 Кольцо в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Мордор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. У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них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возникло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 желание отнести Кольцо в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Мордор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(Курсивом выделены сказуемые.)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bCs/>
          <w:sz w:val="23"/>
          <w:szCs w:val="23"/>
          <w:lang w:eastAsia="ru-RU"/>
        </w:rPr>
        <w:t>Внимание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 Инфинитив никогда не будет сказуемым, если названное им действие выполняется другим лицом, не подлежащим.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Гэндальф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посоветовал уходить до наступления зимы.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Что сделал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Гэндальф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? Только посоветовал. Действие инфинитива «уходить» будет выполнять не он, а значит, в состав сказуемого оно не входит.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Остальные слова могут являться частью сказуемого, если они и есть основной смысл предложения. Зачастую рядом с ними можно вставить глагол «быть». Или он уже имеется там, но в другом виде.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Кольцо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выковано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 в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Мордоре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(Кольцо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было выковано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 в 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Мордоре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.)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Фродо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—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хранитель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Кольца. (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Фродо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был хранителем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Кольца.)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Элронд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весь день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ходил хмурый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 (</w:t>
      </w:r>
      <w:proofErr w:type="spellStart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Элронд</w:t>
      </w:r>
      <w:proofErr w:type="spellEnd"/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 xml:space="preserve"> весь день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был хмурый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.)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Примечание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: если между подлежащим и сказуемым есть союз </w:t>
      </w:r>
      <w:r w:rsidRPr="00D62C12">
        <w:rPr>
          <w:rFonts w:ascii="OpenSansRegular" w:eastAsia="Times New Roman" w:hAnsi="OpenSansRegular" w:cs="Times New Roman"/>
          <w:bCs/>
          <w:sz w:val="23"/>
          <w:szCs w:val="23"/>
          <w:lang w:eastAsia="ru-RU"/>
        </w:rPr>
        <w:t>как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, он входит в состав сказуемого. (Пруд как зеркало.)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И последнее. Если сказуемым является </w:t>
      </w:r>
      <w:r w:rsidRPr="00D62C12">
        <w:rPr>
          <w:rFonts w:ascii="OpenSansRegular" w:eastAsia="Times New Roman" w:hAnsi="OpenSansRegular" w:cs="Times New Roman"/>
          <w:bCs/>
          <w:sz w:val="23"/>
          <w:szCs w:val="23"/>
          <w:lang w:eastAsia="ru-RU"/>
        </w:rPr>
        <w:t>фразеологизм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, то выписываем мы его полностью. Например: Главное, чтобы он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не вешал нос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 и </w:t>
      </w:r>
      <w:r w:rsidRPr="00D62C12">
        <w:rPr>
          <w:rFonts w:ascii="OpenSansRegular" w:eastAsia="Times New Roman" w:hAnsi="OpenSansRegular" w:cs="Times New Roman"/>
          <w:i/>
          <w:iCs/>
          <w:sz w:val="23"/>
          <w:szCs w:val="23"/>
          <w:lang w:eastAsia="ru-RU"/>
        </w:rPr>
        <w:t>не останется с носом</w:t>
      </w: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.</w:t>
      </w:r>
    </w:p>
    <w:p w:rsidR="006C2718" w:rsidRPr="00D62C12" w:rsidRDefault="006C2718" w:rsidP="00D62C12">
      <w:pPr>
        <w:spacing w:before="100" w:beforeAutospacing="1" w:after="100" w:afterAutospacing="1" w:line="315" w:lineRule="atLeast"/>
        <w:ind w:left="-567"/>
        <w:rPr>
          <w:rFonts w:ascii="OpenSansRegular" w:eastAsia="Times New Roman" w:hAnsi="OpenSansRegular" w:cs="Times New Roman"/>
          <w:sz w:val="23"/>
          <w:szCs w:val="23"/>
          <w:lang w:eastAsia="ru-RU"/>
        </w:rPr>
      </w:pPr>
      <w:r w:rsidRPr="00D62C12">
        <w:rPr>
          <w:rFonts w:ascii="OpenSansRegular" w:eastAsia="Times New Roman" w:hAnsi="OpenSansRegular" w:cs="Times New Roman"/>
          <w:sz w:val="23"/>
          <w:szCs w:val="23"/>
          <w:lang w:eastAsia="ru-RU"/>
        </w:rPr>
        <w:t>В ОГЭ ответы выписываются без знаков препинания и пробелов.</w:t>
      </w:r>
    </w:p>
    <w:p w:rsidR="006C2718" w:rsidRPr="00D62C12" w:rsidRDefault="006C2718" w:rsidP="00D62C12">
      <w:pPr>
        <w:ind w:left="-567"/>
      </w:pPr>
      <w:bookmarkStart w:id="1" w:name="_GoBack"/>
      <w:bookmarkEnd w:id="1"/>
    </w:p>
    <w:sectPr w:rsidR="006C2718" w:rsidRPr="00D6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aduateregular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B24"/>
    <w:multiLevelType w:val="multilevel"/>
    <w:tmpl w:val="075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41404"/>
    <w:multiLevelType w:val="multilevel"/>
    <w:tmpl w:val="44E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B5DF0"/>
    <w:multiLevelType w:val="multilevel"/>
    <w:tmpl w:val="16E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44FCD"/>
    <w:multiLevelType w:val="multilevel"/>
    <w:tmpl w:val="538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D56AB0"/>
    <w:multiLevelType w:val="multilevel"/>
    <w:tmpl w:val="4F5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1E6575"/>
    <w:multiLevelType w:val="multilevel"/>
    <w:tmpl w:val="F6B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854915"/>
    <w:multiLevelType w:val="multilevel"/>
    <w:tmpl w:val="EBF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F466B4"/>
    <w:multiLevelType w:val="multilevel"/>
    <w:tmpl w:val="9040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497F44"/>
    <w:multiLevelType w:val="multilevel"/>
    <w:tmpl w:val="68A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18"/>
    <w:rsid w:val="006C2718"/>
    <w:rsid w:val="006D2A43"/>
    <w:rsid w:val="00D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mcauchitca.blogspot.com/2010/07/blog-post_2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chimcauchitca.blogspot.com/2010/07/1_2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mcauchitca.blogspot.com/2010/07/blog-post_27.html" TargetMode="External"/><Relationship Id="rId11" Type="http://schemas.openxmlformats.org/officeDocument/2006/relationships/hyperlink" Target="http://alfring.ru/zadaniya/gia-zadanie-v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fring.ru/zadaniya/gia-zadanie-v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mcauchitca.blogspot.com/2010/07/blog-post_66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2015-06-01T16:37:00Z</dcterms:created>
  <dcterms:modified xsi:type="dcterms:W3CDTF">2016-01-19T15:21:00Z</dcterms:modified>
</cp:coreProperties>
</file>